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outlineLvl w:val="2"/>
        <w:rPr>
          <w:rFonts w:asciiTheme="minorBidi" w:eastAsia="Times New Roman" w:hAnsiTheme="minorBidi"/>
          <w:b/>
          <w:bCs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 w:hint="cs"/>
          <w:b/>
          <w:bCs/>
          <w:sz w:val="27"/>
          <w:szCs w:val="27"/>
          <w:rtl/>
          <w:lang w:eastAsia="fr-FR"/>
        </w:rPr>
        <w:t xml:space="preserve">الفكر الاسلامي والفكر العلماني </w:t>
      </w:r>
      <w:r w:rsidRPr="00521AC2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مطالعةٌ في مواطن الائتلاف والاختلاف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0" w:name="_Toc423455562"/>
      <w:bookmarkStart w:id="1" w:name="_Toc422764399"/>
      <w:bookmarkEnd w:id="0"/>
      <w:bookmarkEnd w:id="1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د. مخلص السبتي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(</w:t>
      </w:r>
      <w:bookmarkStart w:id="2" w:name="_ftnref1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"http://nosos.net/%d8%a7%d9%84%d9%81%d9%83%d8%b1-%d8%a7%d9%84%d8%a5%d8%b3%d9%84%d8%a7%d9%85%d9%8a-%d9%88%d8%a7%d9%84%d9%81%d9%83%d8%b1-%d8%a7%d9%84%d8%b9%d9%84%d9%85%d8%a7%d9%86%d9%8a/" \l "_ftn1" </w:instrTex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521A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fr-FR"/>
        </w:rPr>
        <w:t>*)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2"/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gramStart"/>
      <w:r w:rsidRPr="00521AC2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مقدّمة</w:t>
      </w:r>
      <w:proofErr w:type="gramEnd"/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نستهدف هنا ثلاثة أهداف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أساسية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ـ توظيف الخبرة الإنسانية لخدمة الفكر الإسلامي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ـ توظيف الفكر الإسلامي لخدمة الفكر الإنساني (باللغة التي يفهمها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3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ـ محاولة المساهمة في نزع الصراع المحتدم (على المستويات الفكرية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والسياسية…)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بين فئتين عظيمتين من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المسلمين: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فئة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العلمانيين؛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وفئة الإسلاميين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ينطلق البحث من فرضية مفادها أن داء تقمُّص القداسة الذي أصاب المسيحية وعصف بالكنيسة هو نفسه الذي أصاب التاريخ الإسلامي وعصف بمركز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الخلافة،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وبأغلب الفرق الإسلامي عبر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التاريخ،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مثل: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الخوارج،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وما تلاهم من فرق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متشعِّبة،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كالعلوية والمنصورية والخطابية…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إلخ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ما مدى صحّة هذا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الطرح؟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وهل يمكن مقاربته بالأحاديث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الاستشرافيّة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للنبيّ|: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(لتتبعن سنَّة مَنْ كان قبلكم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…)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(</w:t>
      </w:r>
      <w:bookmarkStart w:id="3" w:name="_ednref1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begin"/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instrText xml:space="preserve"> HYPERLINK "http://nosos.net/%d8%a7%d9%84%d9%81%d9%83%d8%b1-%d8%a7%d9%84%d8%a5%d8%b3%d9%84%d8%a7%d9%85%d9%8a-%d9%88%d8%a7%d9%84%d9%81%d9%83%d8%b1-%d8%a7%d9%84%d8%b9%d9%84%d9%85%d8%a7%d9%86%d9%8a/" \l "_edn1" </w:instrTex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separate"/>
      </w:r>
      <w:r w:rsidRPr="00521A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fr-FR"/>
        </w:rPr>
        <w:t>[1]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end"/>
      </w:r>
      <w:bookmarkEnd w:id="3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)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و(أنّ هذه الملّة ستفترق على ثلاث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وسبعين: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اثنتين وسبعون في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النار،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وواحدة في الجنة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)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(</w:t>
      </w:r>
      <w:bookmarkStart w:id="4" w:name="_ednref2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begin"/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instrText xml:space="preserve"> HYPERLINK "http://nosos.net/%d8%a7%d9%84%d9%81%d9%83%d8%b1-%d8%a7%d9%84%d8%a5%d8%b3%d9%84%d8%a7%d9%85%d9%8a-%d9%88%d8%a7%d9%84%d9%81%d9%83%d8%b1-%d8%a7%d9%84%d8%b9%d9%84%d9%85%d8%a7%d9%86%d9%8a/" \l "_edn2" </w:instrTex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separate"/>
      </w:r>
      <w:r w:rsidRPr="00521A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fr-FR"/>
        </w:rPr>
        <w:t>[2]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end"/>
      </w:r>
      <w:bookmarkEnd w:id="4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)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؟</w:t>
      </w:r>
      <w:proofErr w:type="spellEnd"/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في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البداية ينبغي التأكيد على أن فهم أهداف العلمانية ومراميها يقتضي فهم الواقع الذي جاءت العلمانية في أوروبا لمجابهته.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ونحن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نزعم أنه نفس الواقع الذي جابهته الكثير من نصوص القرآن والسنَّة وتصرُّفات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الخلفاء،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واقع اتَّسع بادعاء العصمة والقداسة عبر آليتين اثنتين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1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ـ عصمة وقداسة الراهب أو الإمام أو الوليّ القطب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2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ـ عصمة وقداسة الرأي ما دام صادراً عن مستند من نصٍّ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ديني،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ولو لم يتمّ النظر إلى الشخص في ذاته على أنه مقدَّس أو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معصوم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(</w:t>
      </w:r>
      <w:bookmarkStart w:id="5" w:name="_ednref3"/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begin"/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instrText xml:space="preserve"> HYPERLINK "http://nosos.net/%d8%a7%d9%84%d9%81%d9%83%d8%b1-%d8%a7%d9%84%d8%a5%d8%b3%d9%84%d8%a7%d9%85%d9%8a-%d9%88%d8%a7%d9%84%d9%81%d9%83%d8%b1-%d8%a7%d9%84%d8%b9%d9%84%d9%85%d8%a7%d9%86%d9%8a/" \l "_edn3" </w:instrTex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separate"/>
      </w:r>
      <w:r w:rsidRPr="00521A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fr-FR"/>
        </w:rPr>
        <w:t>[3]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end"/>
      </w:r>
      <w:bookmarkEnd w:id="5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)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21AC2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إشكالٌ في الغرب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تضرب العلمانية بجذورها الأولى إلى عمق الدين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المسيحي؛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إذ لم يأتِ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عيسى×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بهدف تأسيس دولة أو تبليغ شريعة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(</w:t>
      </w:r>
      <w:bookmarkStart w:id="6" w:name="_ednref4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begin"/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instrText xml:space="preserve"> HYPERLINK "http://nosos.net/%d8%a7%d9%84%d9%81%d9%83%d8%b1-%d8%a7%d9%84%d8%a5%d8%b3%d9%84%d8%a7%d9%85%d9%8a-%d9%88%d8%a7%d9%84%d9%81%d9%83%d8%b1-%d8%a7%d9%84%d8%b9%d9%84%d9%85%d8%a7%d9%86%d9%8a/" \l "_edn4" </w:instrTex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separate"/>
      </w:r>
      <w:r w:rsidRPr="00521A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fr-FR"/>
        </w:rPr>
        <w:t>[4]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end"/>
      </w:r>
      <w:bookmarkEnd w:id="6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)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بل أتى للدعوة إلى نبذ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الوثنية،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ولنشر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التوحيد،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مع تصحيح القِيَم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الأخلاقية،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والدعوة إلى المحبّة والسلام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فكانت رسالة عيسى إذن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رسالة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روحية مكملة للدولة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والشريعة،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وغير معادية لهما.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وفي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الوقت ذاته كانت تعمل على التمييز المستمرّ ما بين دولة قيصر ودعوة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عيسى؛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حتّى لا تختلط الدعوة المقدَّسة بالدولة المدنَّسة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(profane).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ومع مرور العهود أنتجت الدعوة مؤسسة قوية لها أموال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طائلة،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وإقطاعات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شاسعة،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وميليشيات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مسلحة،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وهي الكنيسة التي سيطرت سيطرة كاملة ومطلقة على الدولة وملوكها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وساستها،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وأخضعت المجتمع لنظامٍ صارم يبجِّل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الروح،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ويلغي المصالح الدنيوية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والمادية،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ويقف في وجه تطوُّر العلوم والمعارف غير الدينية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lastRenderedPageBreak/>
        <w:t xml:space="preserve">وبذلك تشكّلت حركة العلم والدين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القانون،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وأصبحت الكنيسة هي المتحكمة في الأنفس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والأرواح،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عبر رهبانها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وقسِّيسيها،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حتّى أن إيمان المسيحي لم يكن ليصحّ إلاّ بالمرور عبر وصاية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الراهب،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التي تفرض قَسْراً على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الأتباع،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وهي تشبه وصاية الآباء على أبنائهم القاصرين. ومَنْ يبحث في دلالات ومرجعيات المصطلحات الكنيسة المستعملة من أبٍ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وابن،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وأحياناً أخت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وأخ،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يدرك عمق الهوّة الفاصلة بين رجل الدين ولو كان في أسفل السلَّم الهَرَمي للكنيسة ورجل الدنيا العادي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فرجال الدين والرهبان إذن هم الوسطاء الذين ليس منهم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بُدٌّ؛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لكي يكون الإنسان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مؤمناً،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وهم المتحكِّمون في إيمان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المؤمن،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منذ أيامه الأولى عبر التعميد إلى نهاية حياته عبر مباركته أو طرده من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الملكوت،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مروراً بإمكانية تبشيره أيام حياته بمغفرة الذنوب أو متابعته بالتفتيش عن آرائه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ومعتقداته،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وتطهيره بالتعذيب والإحراق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بالنار،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إذا كان «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مجدّفاً»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مخالفاً لآراء الكنيسة المقدّسة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على أن مصدر الانحراف الذي بدأ بفترةٍ قصيرة بعد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عيسى×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لم يكن في ذات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الدين،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ولا حتى في وجود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الإكليروس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الديني،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بل في حرص هذا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الإكليروس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استملاك الدين والدنيا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استملاكاً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نهائياً،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واحتكار معرفتهما احتكاراً مطلقاً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ومشروعاً،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والصدور في ذلك عن طريق مقدّس لا يقبل المراجعة أو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المحاسبة؛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إذ هم الرهبان المتحكِّمون باسم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الله،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والمترجمون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لإرادته،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وأيُّ مخالفة لهم تعتبر مخالفة لإرادة الله وتوجيهاته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وقد أثَّرت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هاته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الفلسفة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الإطلاقية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العرفاتية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21AC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1</w:t>
      </w:r>
      <w:r w:rsidRPr="00521AC2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ـ مصادر الدين ونصوصه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فأقرّت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المجامع الكنسية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أناجيل،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وأقصت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أخرى،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دون أيّ سند علمي أو توثيقي.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وحرمت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ترجمة الكتب المقدّسة من اللاتينية إلى غيرها من اللغات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الأوروبية؛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إمعاناً في احتكار الدين ووسائل معرفته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21AC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2</w:t>
      </w:r>
      <w:r w:rsidRPr="00521AC2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ـ الإبداع الفكري والعلمي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إذ تبنَّت الكنيسة الآراء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الأرسطية،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وأضفت عليها من القداسة والرهبة ما جعل مخالفيها كفّاراً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هراطقة،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ولذلك قتلت العلماء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واضطهدتهم،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وأحرقت المفكِّرين والمخالفين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21AC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3</w:t>
      </w:r>
      <w:r w:rsidRPr="00521AC2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ـ التعايش الاجتماعي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حيث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تمّ اضطهاد المخالفين من اليهود والمسلمين وأتباع المذاهب المسيحية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المخالفة،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وتمّ حظر التعامل التجاري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معهم،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وطردهم من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وظائفهم،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وإخضاعهم للمبادئ الكنسية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بالقوّة،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والسعي المحكم إلى تغيير أسمائهم وأديانهم بالإكراه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ومن جهةٍ أخرى أدّى تحالف الكنيسة مع الإقطاعيين إلى استضعاف فئات واسعة من العبيد وصغار التجّار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والحرفيين،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وغصب أموالهم وأعراضهم،…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إلخ،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فانتفى بذلك التعايش الاجتماعي بين المذاهب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المسيحية،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وبينها وبين الأقليات الدينية التي تعيش بينها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21AC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4</w:t>
      </w:r>
      <w:r w:rsidRPr="00521AC2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ـ النظام السياسي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صاغ رجال الكنيسة النظرية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الثيوقراطية،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وهي ما يعرف بالحكم بالحقّ الإلهي المقدّس. وبمقتضى ذلك صار الحاكم يحكم الشعب بتوجيهٍ من الإرادة الإلهية.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وبذلك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لم يكن لشخصٍ أو هيئة أن يعارض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الحاكم؛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لأنه هو المجسِّد لإرادة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الله،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وهو الذي يحكم باسم الله ونيابةً عنه.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وأعلى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معارضة للحاكم تسقط في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الكفر،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وتوجب لصاحبها اللعن والإخراج من الملكوت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lastRenderedPageBreak/>
        <w:t xml:space="preserve">ولم يكن رجال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الدولة،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أمراء ونبلاء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وغيرهم،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ليتقبَّلوا بيسرٍ تحكُّم رجال الدين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بهم،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بل انخرطوا في صراعاتٍ طويلة أدَّتْ في الأخير إلى انتصار رجال الدولة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«العلمانيين»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رجال الدين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«اللاهوتيين».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ولم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يكن الأمر رفضاً للدين من جانب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العلمانيين،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بل كان الجميع ينتهي بقوّة وبتعصُّب إلى الدين المسيحي.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فالعلمانية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لم تكن استبدالاً لثقافة دينية بثقافة أخرى لا دينية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(</w:t>
      </w:r>
      <w:bookmarkStart w:id="7" w:name="_ednref5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begin"/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instrText xml:space="preserve"> HYPERLINK "http://nosos.net/%d8%a7%d9%84%d9%81%d9%83%d8%b1-%d8%a7%d9%84%d8%a5%d8%b3%d9%84%d8%a7%d9%85%d9%8a-%d9%88%d8%a7%d9%84%d9%81%d9%83%d8%b1-%d8%a7%d9%84%d8%b9%d9%84%d9%85%d8%a7%d9%86%d9%8a/" \l "_edn5" </w:instrTex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separate"/>
      </w:r>
      <w:r w:rsidRPr="00521A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fr-FR"/>
        </w:rPr>
        <w:t>[5]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end"/>
      </w:r>
      <w:bookmarkEnd w:id="7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)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بل محاولة للرجوع بالمسيحية إلى سالف عهدها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ومن هنا نفهم كيف أن العلمانية تحوّلت إلى مصدر للقيم الإنسانية الثابتة في الثقافة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الغربية،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بما أنها شرط للقضاء على الظلم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والاستبداد،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وتحرير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للعقل،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وترشيد للعمل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الإنساني،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وأصبحت فلسفة عامّة توجِّه الوعي الاجتماعي والسياسي وجهته العقلانية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العلمية،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وتبعده عن التصوّرات الخرافية التي تعيق فهم الحياة وتطويرها. إنها في المرجعية الغربية ليست فقط النقيض المواجه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للثيوقراطية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المستبدّة،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بل أيضاً هي المواجه لتحريف الدين والتزيُّد فيه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.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فلم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يكن لها من مبرِّر في المجتمعات الأوروبية لولا ذلك السلطان القاهر الذي ألَّه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الرهبان،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ومنحهم الحديث باسم الله ونيابةً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عنه،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وصدق الله العظيم إذ يقول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﴿</w:t>
      </w:r>
      <w:r w:rsidRPr="00521AC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اتَّخَذُوا أَحْبَارَهُمْ وَرُهْبَانَهُمْ أَرْبَاباً مِنْ دُونِ اللهِ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﴾ 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التوبة: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31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gramStart"/>
      <w:r w:rsidRPr="00521AC2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إشكال</w:t>
      </w:r>
      <w:proofErr w:type="gramEnd"/>
      <w:r w:rsidRPr="00521AC2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 xml:space="preserve"> الشرق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ظهرت الحاجة إلى التمييز بين حكم الله في الشيء وحكم الإنسان منذ فترة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مبكرة،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حيث نزل القرآن في العهد المكي داعياً إلى عدم الحديث باسم الله ونيابة عنه في غير ما شرّع أو أخبر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عنه،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فإنْ حدث شيءٌ من هذا فهو كذب وافتراء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به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عليه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﴿</w:t>
      </w:r>
      <w:r w:rsidRPr="00521AC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إِنَّمَا حَرَّمَ عَلَيْكُمْ الْمَيْتَةَ وَالدَّمَ وَلَحْمَ الْخِنْزِيرِ وَمَا أُهِلَّ لِغَيْرِ اللهِ </w:t>
      </w:r>
      <w:proofErr w:type="spellStart"/>
      <w:r w:rsidRPr="00521AC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بِهِ</w:t>
      </w:r>
      <w:proofErr w:type="spellEnd"/>
      <w:r w:rsidRPr="00521AC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فَمَنْ اضْطُرَّ غَيْرَ بَاغٍ وَلاَ عَادٍ فَإِنَّ اللهَ غَفُورٌ رَحِيمٌ </w:t>
      </w:r>
      <w:proofErr w:type="spellStart"/>
      <w:r w:rsidRPr="00521AC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*</w:t>
      </w:r>
      <w:proofErr w:type="spellEnd"/>
      <w:r w:rsidRPr="00521AC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وَلاَ تَقُولُوا لِمَا تَصِفُ أَلْسِنَتُكُمْ الْكَذِبَ هَذَا حَلاَلٌ وَهَذَا حَرَامٌ لِتَفْتَرُوا عَلَى اللهِ الْكَذِبَ إِنَّ الَّذِينَ يَفْتَرُونَ عَلَى اللهِ الْكَذِبَ لاَ يُفْلِحُونَ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﴾ 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النحل: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115 ـ 116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فبعدما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بيَّن الله عزَّ وجلَّ هنا ما حرَّم على المسلمين دعاهم إلى عدم التزيُّد عليه بالتشريع نيابة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عنه،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فإنْ حدث هذا كان كذباً وافتراء عليه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كما أننا نجد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الرسول|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يميِّز بين حكمه الخاصّ الذي يصيب ويخطئ وحكم الله عزَّ وجلَّ المطلق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فيقول: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«إنَّما أنا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بشر،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وإنَّكم تختصمون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إليَّ،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فلعل أحدكم أن يكون ألحن بحجَّته من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بعض،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فأقضي له على نحو ما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أسمع،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فمَنْ قضيتُ له بحقِّ مسلمٍ فإنَّما هي قطعةٌ من النار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»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(</w:t>
      </w:r>
      <w:bookmarkStart w:id="8" w:name="_ednref6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begin"/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instrText xml:space="preserve"> HYPERLINK "http://nosos.net/%d8%a7%d9%84%d9%81%d9%83%d8%b1-%d8%a7%d9%84%d8%a5%d8%b3%d9%84%d8%a7%d9%85%d9%8a-%d9%88%d8%a7%d9%84%d9%81%d9%83%d8%b1-%d8%a7%d9%84%d8%b9%d9%84%d9%85%d8%a7%d9%86%d9%8a/" \l "_edn6" </w:instrTex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separate"/>
      </w:r>
      <w:r w:rsidRPr="00521A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fr-FR"/>
        </w:rPr>
        <w:t>[6]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end"/>
      </w:r>
      <w:bookmarkEnd w:id="8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)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ويقول في حديث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تأبير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النخل: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«إن الظنّ يخطئ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ويصيب،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ولكنْ ما قلت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لكم: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قال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الله،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فلن أكذب على الله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»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(</w:t>
      </w:r>
      <w:bookmarkStart w:id="9" w:name="_ednref7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begin"/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instrText xml:space="preserve"> HYPERLINK "http://nosos.net/%d8%a7%d9%84%d9%81%d9%83%d8%b1-%d8%a7%d9%84%d8%a5%d8%b3%d9%84%d8%a7%d9%85%d9%8a-%d9%88%d8%a7%d9%84%d9%81%d9%83%d8%b1-%d8%a7%d9%84%d8%b9%d9%84%d9%85%d8%a7%d9%86%d9%8a/" \l "_edn7" </w:instrTex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separate"/>
      </w:r>
      <w:r w:rsidRPr="00521A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fr-FR"/>
        </w:rPr>
        <w:t>[7]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end"/>
      </w:r>
      <w:bookmarkEnd w:id="9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)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والرسول يربّي أصحابه على اعتبار هذا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الفارق،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فحينما أمر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بريدة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على سرية نهاه أن ينزل عدوّه إذا حاصرهم على حكم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الله،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وقال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له: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«فإنك لا تدري أتصيب حكم الله فيهم أم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لا،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ولكنْ أنزلهم على حكمك وحكم أصحابك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»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(</w:t>
      </w:r>
      <w:bookmarkStart w:id="10" w:name="_ednref8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begin"/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instrText xml:space="preserve"> HYPERLINK "http://nosos.net/%d8%a7%d9%84%d9%81%d9%83%d8%b1-%d8%a7%d9%84%d8%a5%d8%b3%d9%84%d8%a7%d9%85%d9%8a-%d9%88%d8%a7%d9%84%d9%81%d9%83%d8%b1-%d8%a7%d9%84%d8%b9%d9%84%d9%85%d8%a7%d9%86%d9%8a/" \l "_edn8" </w:instrTex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separate"/>
      </w:r>
      <w:r w:rsidRPr="00521A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fr-FR"/>
        </w:rPr>
        <w:t>[8]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end"/>
      </w:r>
      <w:bookmarkEnd w:id="10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)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لكنّ سنة الله لا بُدَّ أن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تتم،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ولا بُدَّ أن يأخذ التاريخ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مجراه،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فتنطبق على المسلمين سنَّة الله في الذين خلَوْا من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قبل: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«لتتبعنَّ سنَّة مَنْ كان قبلكم حذو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القذّة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بالقذّة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»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(</w:t>
      </w:r>
      <w:bookmarkStart w:id="11" w:name="_ednref9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begin"/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instrText xml:space="preserve"> HYPERLINK "http://nosos.net/%d8%a7%d9%84%d9%81%d9%83%d8%b1-%d8%a7%d9%84%d8%a5%d8%b3%d9%84%d8%a7%d9%85%d9%8a-%d9%88%d8%a7%d9%84%d9%81%d9%83%d8%b1-%d8%a7%d9%84%d8%b9%d9%84%d9%85%d8%a7%d9%86%d9%8a/" \l "_edn9" </w:instrTex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separate"/>
      </w:r>
      <w:r w:rsidRPr="00521A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fr-FR"/>
        </w:rPr>
        <w:t>[9]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end"/>
      </w:r>
      <w:bookmarkEnd w:id="11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)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فيقدِّسوا آراء شيوخهم وأئمتهم. وهنا نذكر الخوارج والمنصورية والخطابية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والإسماعلية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والباطنية…،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ثم بعد ذلك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البابية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والبهائية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والقاديانية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،…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إلخ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أما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العالم السنّي فالمتأمِّل في تجربة الطرق الصوفية يلحظ نشوء منهج جديد منذ فترة مبكِّرة من تاريخ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التصوّف،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هو منهج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«الحقيقة»،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الذي زاحم منهج الشريعة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أحياناً،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وأقصاه في معظم الأحيان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وهذا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المنهج يقوم على مبادئ الذوق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والإلهام،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الأمر الذي مكَّن كثيراً من شيوخ الطرق من الادّعاء أنهم على صلة مباشرة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بالله،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وبذلك أصبحت إلهامات الشيخ وأحلامه هي مصادر العلوم والمعارف الدنيوية والأخروية.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ومن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شيوخ الطرق مَنْ كان يدّعي أنه يلتقي برسول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الله|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يقظةً،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لا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مناماً،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فيخبره ويأمره وينهاه. خُذْ مثالاً على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ذلك: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الشيخ أبو العباس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التيجاني،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الذي قال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: «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أخبرني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الرسول|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قائلاً: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بعزّة ربي يوم الاثنين ويوم الجمعة لم أفارقك فيهما من الفجر إلى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الغروب،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معي سبعة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أملاك،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وكلّ مَنْ رآك في اليومين تكتب الملائكة اسمه على ورقةٍ من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ذهب،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ويكتبونه من أهل الجنة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lastRenderedPageBreak/>
        <w:t xml:space="preserve">وكان التيجاني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يقول: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مَنْ ترك ورده وأخذ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وردنا،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وتمسَّك بطريقتنا هذه الأحمدية المحمدية الإبراهيمية الحنفية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التيجانية،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فلا خوف عليه ولا من الله ولا من رسوله ولا من شيخه أيّاً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كان،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الأحياء أو من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الأموات،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أما مَنْ أخذ وردنا وتركه فإنه يحلّ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به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البلاء دنيا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وأخرى،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ولا يموت إلا كافراً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قطعاً،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وبذلك أخبرني سيد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الوجود|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يقظةً،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لا مناماً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»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(</w:t>
      </w:r>
      <w:bookmarkStart w:id="12" w:name="_ednref10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begin"/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instrText xml:space="preserve"> HYPERLINK "http://nosos.net/%d8%a7%d9%84%d9%81%d9%83%d8%b1-%d8%a7%d9%84%d8%a5%d8%b3%d9%84%d8%a7%d9%85%d9%8a-%d9%88%d8%a7%d9%84%d9%81%d9%83%d8%b1-%d8%a7%d9%84%d8%b9%d9%84%d9%85%d8%a7%d9%86%d9%8a/" \l "_edn10" </w:instrTex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separate"/>
      </w:r>
      <w:r w:rsidRPr="00521A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fr-FR"/>
        </w:rPr>
        <w:t>[10]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end"/>
      </w:r>
      <w:bookmarkEnd w:id="12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)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ولقد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أصاب هذا المنهج الإلهامي الصوفي نجاحاً في أغلب مناطق العالم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الإسلامي،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وتطوّر لكي يشكل لنفسه بناء فلسفياً متكاملاً يقوم على إلغاء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العقل،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وإحلال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«الذوق»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مكانه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وبذلك يصبح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«الذوق»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هو نقطة بداية المريد والمتعلِّم والذي يرتقي في المقامات حتّى يصبح هو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«الله»،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وحينما يرتفع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به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ذوقه إلى هذا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«المقام»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نجده لا يتردَّد في إعلانه على الناس في مجالسهم ومنتدياتهم بصيغ تتفاوت بحسب الظروف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والمناسبات؛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فمرّة يفهمهم أنه «ما في الجبة إلاّ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هو»،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ومرّة يصبح بكلام لا لبس فيه «أنا الله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».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بهاته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الوسيلة منح الشيوخ والأولياء والأقطاب والأَغَوات لأنفسهم سلطاناً روحياً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مهيمناً،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بحيث لم يكن يصحّ أن يظل المؤمن بغير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شيخ،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فـ 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«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مَنْ لم يكن له شيخ فشيخه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الشيطان».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وهذا الشيخ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هو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الذي يمنح للمريد 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«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الإذن»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ذكر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ربِّه،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ويربي روحه ويرعاها. لهذا يتحتَّم أن يكون المريد بين يدي شيخه «كالميت بين يدَيْ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غاسله؛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لأنه هو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الأدرى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بروحه،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وما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يصلحه،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ودينه،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وما يستقيم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به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».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فالشيخ بذلك هو صاحب السلطان الروحي الذي لا يستقيم إيمان المؤمن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بدونه،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ولا يصحّ سيره إلى الله إلاّ على نهجه وتحت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وصايته،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بل إنه كثيراً ما استمرت وصاية الشيخ وسيطرته على الأتباع حتّى بعد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موته،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فيقدّس قبره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ويعظّم،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وتشدّ إليه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الرحال،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وتقام له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المواسم،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ويرجى في المهمّات والملمّات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….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وهكذا أصبح الأئمّة والشيوخ والأقطاب متحكِّمون في الناس باسم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الله،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وأيُّ مخالفةٍ لهم تعدّ مخالفة لأصول الدين وثوابت العقيدة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ومن الطبيعي أن تحاول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هاته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الفلسفة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الإطلاقية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العرفانية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التأثير على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21AC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1</w:t>
      </w:r>
      <w:r w:rsidRPr="00521AC2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ـ مصادر الدين ونصوصه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قادت الصراعات السياسية بعض المسلمين إلى أن يصرِّحوا بأن القرآن قد أصابه الزيادة والنقصان.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وهكذا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نجدهم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يروُون: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لو قرئ القرآن كما أنزل لألفيتنا فيه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مسمَّين».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وعن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أبي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جعفر×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قال: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«لولا أنه زيد في كتاب الله ونقص ما خفي حقنا على ذي حجى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»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(</w:t>
      </w:r>
      <w:bookmarkStart w:id="13" w:name="_ednref11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begin"/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instrText xml:space="preserve"> HYPERLINK "http://nosos.net/%d8%a7%d9%84%d9%81%d9%83%d8%b1-%d8%a7%d9%84%d8%a5%d8%b3%d9%84%d8%a7%d9%85%d9%8a-%d9%88%d8%a7%d9%84%d9%81%d9%83%d8%b1-%d8%a7%d9%84%d8%b9%d9%84%d9%85%d8%a7%d9%86%d9%8a/" \l "_edn11" </w:instrTex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separate"/>
      </w:r>
      <w:r w:rsidRPr="00521A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fr-FR"/>
        </w:rPr>
        <w:t>[11]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end"/>
      </w:r>
      <w:bookmarkEnd w:id="13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)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وكان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منهم مَنْ يحتج بظاهر القرآن على باطن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أهوائه،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ولا يخفى بعد ذلك صنيع الذين وضعوا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الحديث؛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لبيان الفضائل أو لترجيح الآراء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(</w:t>
      </w:r>
      <w:bookmarkStart w:id="14" w:name="_ednref12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begin"/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instrText xml:space="preserve"> HYPERLINK "http://nosos.net/%d8%a7%d9%84%d9%81%d9%83%d8%b1-%d8%a7%d9%84%d8%a5%d8%b3%d9%84%d8%a7%d9%85%d9%8a-%d9%88%d8%a7%d9%84%d9%81%d9%83%d8%b1-%d8%a7%d9%84%d8%b9%d9%84%d9%85%d8%a7%d9%86%d9%8a/" \l "_edn12" </w:instrTex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separate"/>
      </w:r>
      <w:r w:rsidRPr="00521A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fr-FR"/>
        </w:rPr>
        <w:t>[12]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end"/>
      </w:r>
      <w:bookmarkEnd w:id="14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)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21AC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2</w:t>
      </w:r>
      <w:r w:rsidRPr="00521AC2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ـ النظام السياسي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يحدثنا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التاريخ أن محنة خلق القرآن إنما كان سببها الاقتناع برأي اجتهادي على أنه هو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الحقّ،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وإقصاء الآراء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الأخرى؛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بصفتها باطلاً يجب التقرُّب إلى الله بمحاربة أصحابه والتضييق عليهم.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وهكذا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اعتبر المأمون الإمام أحمد من أهل الجهالة والضلال عن الدين والتوحيد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(</w:t>
      </w:r>
      <w:bookmarkStart w:id="15" w:name="_ednref13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begin"/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instrText xml:space="preserve"> HYPERLINK "http://nosos.net/%d8%a7%d9%84%d9%81%d9%83%d8%b1-%d8%a7%d9%84%d8%a5%d8%b3%d9%84%d8%a7%d9%85%d9%8a-%d9%88%d8%a7%d9%84%d9%81%d9%83%d8%b1-%d8%a7%d9%84%d8%b9%d9%84%d9%85%d8%a7%d9%86%d9%8a/" \l "_edn13" </w:instrTex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separate"/>
      </w:r>
      <w:r w:rsidRPr="00521A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fr-FR"/>
        </w:rPr>
        <w:t>[13]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end"/>
      </w:r>
      <w:bookmarkEnd w:id="15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)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هذا النسق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المأموني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لم يكن شاذّاً خلال تاريخ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الخلافة،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بل نقيضه هو الشاذّ الذي لا يقاس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عليه،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حتّى أن برهان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غليون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ليقول عن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حقٍّ: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كان السلطان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مسؤولاً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أمام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الله،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ومَنْ يكون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مسؤولاً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أمام الله لا يمكن أن يكون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مسؤولاً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أمام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العبد،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أو أن يقبل السؤال أمام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الرعيّة،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حتّى كادت مخالفة السلطان تتحوَّل مهما كان ظلمه أو كفره إلى مخالفة الدين.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وفي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هذه الحالة ليس أمام الناس من وسيلةٍ لمقاومة الظلم إلاّ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الإرجاء،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والدعاء على الملوك أو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lastRenderedPageBreak/>
        <w:t>لهم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…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فبديلُ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ذلك…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ـ كما قال بعض الفقهاء ـ الفتنة المدمِّرة. وهذا هو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الذي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جعل الأدبيات السياسية الإسلامية بصفةٍ عامة أقرب إلى فلسفة النصيحة منها إلى العلم السياسي الحقيقي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»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(</w:t>
      </w:r>
      <w:bookmarkStart w:id="16" w:name="_ednref14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begin"/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instrText xml:space="preserve"> HYPERLINK "http://nosos.net/%d8%a7%d9%84%d9%81%d9%83%d8%b1-%d8%a7%d9%84%d8%a5%d8%b3%d9%84%d8%a7%d9%85%d9%8a-%d9%88%d8%a7%d9%84%d9%81%d9%83%d8%b1-%d8%a7%d9%84%d8%b9%d9%84%d9%85%d8%a7%d9%86%d9%8a/" \l "_edn14" </w:instrTex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separate"/>
      </w:r>
      <w:r w:rsidRPr="00521A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fr-FR"/>
        </w:rPr>
        <w:t>[14]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end"/>
      </w:r>
      <w:bookmarkEnd w:id="16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)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21AC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 3</w:t>
      </w:r>
      <w:r w:rsidRPr="00521AC2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ـ التعايش الاجتماعي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من الواضح أن ادّعاء احتكار الحقيقة كان ولا يزال السبب في تمزيق وحدة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المجتمعات،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وضياع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قواسمها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المشتركة. وهكذا يحدِّثنا التاريخ عن صراعات دامية وقعت بين العامة من أتباع الشافعية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والحنفية،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أو بين الحنابلة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والشافعية،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أو بين السنّة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والشيعة…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ويذكر التاريخ أن الحرب بين الدولة العثمانية السنّية والدولة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الصفوية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الشيعية قد دامت زهاء 200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سنة،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مما تسبَّب في تفكُّك المجتمعات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الإسلامية،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وضياع الثقة بين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فئاتها،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حتّى أنه في نهاية القرن الماضي كانت العديد من المساجد لها أربع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محاريب،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لكلّ مذهبٍ محرابٌ خاصّ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به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r w:rsidRPr="00521AC2"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  <w:t>4</w:t>
      </w:r>
      <w:r w:rsidRPr="00521AC2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ـ الإبداع العلمي والفكري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واضح إذن أن كلّ الانحرافات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السابقة،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سواء على المستوى السياسي أو الاجتماعي أو على مستوى العلوم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الشرعية،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قد ألقت بظلالها على العقل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المسلم،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فنشأت لديه ثنائية متقابلة (دين/دنيا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).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فطالب الدين لا يكون إلا زاهداً في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الدين…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كما تمّ حثّ الناس على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الخمول؛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باعتباره من لوازم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التوكُّل،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وتمَّت محاربة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الشرع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والعقل بالدعوة إلى وجوب أن يكون مصدر المعرفة هو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الذوق،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فهو الحقيقة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المطلقة،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أما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الشرع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فإنّما هو لعوامّ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الناس،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لا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لخاصّتهم،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ويلائم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المبتدئين،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لا الراسخين.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وأما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العقل فحجابٌ كثيف مانع من التعرُّف إلى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الحقيقة،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ولذلك تأوَّلوا قول الله عزَّ وجلَّ ﴿</w:t>
      </w:r>
      <w:r w:rsidRPr="00521AC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اذْهَبْ إِلَى فِرْعَوْنَ إِنَّهُ </w:t>
      </w:r>
      <w:proofErr w:type="spellStart"/>
      <w:r w:rsidRPr="00521AC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طَغَى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﴾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فقالوا: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فرعون هو العقل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وبهذه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الطرق بدأ الناس يبدعون في ما أمر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الشرع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التوقُّف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عنده،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ويتوقَّفون عمّا أمر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الشرع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بالاجتهاد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فيه،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ففشا الجمود والانحطاط في أرجاء العالم الإسلامي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r-FR"/>
        </w:rPr>
      </w:pPr>
      <w:proofErr w:type="gramStart"/>
      <w:r w:rsidRPr="00521AC2">
        <w:rPr>
          <w:rFonts w:ascii="Times New Roman" w:eastAsia="Times New Roman" w:hAnsi="Times New Roman" w:cs="Times New Roman"/>
          <w:b/>
          <w:bCs/>
          <w:sz w:val="27"/>
          <w:szCs w:val="27"/>
          <w:rtl/>
          <w:lang w:eastAsia="fr-FR"/>
        </w:rPr>
        <w:t>مقارنةٌ</w:t>
      </w:r>
      <w:proofErr w:type="gramEnd"/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واضح إذن أن الواقع الذي جابهته العلمانية في أوروبا هو نفس الواقع الذي جابهته الكثير من نصوص القرآن والسنّة وتصرّفات الخلفاء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الأوائل،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واقع اتَّسم بادّعاء العفّة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والقداسة،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عبر تقديس الراهب أو الإمام أو الوليّ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القطب،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أو عبر تقديس الرأي ما دام صادراً عن مستند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ديني،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قوياً كان أو ضعيفاً في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دلالته،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واقع اتَّسم كذلك ببناء هَرَمي ديني غير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دنيوي،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دون أيّ مستندٍ من وحي أو تبليغ. فللكنيسة بناؤها الهرمي الذي يقوم على الأخت والأخ والراهب والباب والقديس…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إلخ،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وللطريقة بناؤها القائم على المريد فالمقدّم فالشيخ فالقطب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فالغَوْث،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والبهائية لها بناؤها كذلك المكون من الباب وباب الباب وبهاء الله والقدوس…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إلخ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(</w:t>
      </w:r>
      <w:bookmarkStart w:id="17" w:name="_ednref15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begin"/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instrText xml:space="preserve"> HYPERLINK "http://nosos.net/%d8%a7%d9%84%d9%81%d9%83%d8%b1-%d8%a7%d9%84%d8%a5%d8%b3%d9%84%d8%a7%d9%85%d9%8a-%d9%88%d8%a7%d9%84%d9%81%d9%83%d8%b1-%d8%a7%d9%84%d8%b9%d9%84%d9%85%d8%a7%d9%86%d9%8a/" \l "_edn15" </w:instrTex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separate"/>
      </w:r>
      <w:r w:rsidRPr="00521A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fr-FR"/>
        </w:rPr>
        <w:t>[15]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end"/>
      </w:r>
      <w:bookmarkEnd w:id="17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)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إنه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الانحراف نفسه وقع في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أوروبا،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فكانت عبودية الإنسان لرجال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الدين،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ووقع في العالم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الإسلامي،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فكانت عبوديته للأئمّة والخلفاء وللأقطاب والأولياء. وهذا سرّ نبوءة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الرسول|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حين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قال: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«تركبنّ سنن مَنْ كان قبلكم حذو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القذّة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بالقذّة».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والقرآن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الكريم يوضح سنن مَنْ كان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قبلنا،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فيخبر عنهم أنهم ﴿</w:t>
      </w:r>
      <w:r w:rsidRPr="00521AC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اتَّخَذُوا أَحْبَارَهُمْ وَرُهْبَانَهُمْ أَرْبَاباً مِنْ دُونِ اللهِ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﴾ 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التوبة: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31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).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ولذلك فمن دعائم توحيد الكلمة بين سائر أهل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الكتاب: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«اليهود والنصارى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والمسلمون»،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أن لا يتّخذ بعضهم بعضاً أرباباً من دون الله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﴿</w:t>
      </w:r>
      <w:r w:rsidRPr="00521AC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قُلْ يَا أَهْلَ الْكِتَابِ تَعَالَوْا إِلَى كَلِمَةٍ سَوَاءٍ بَيْنَنَا وَبَيْنَكُمْ أَنْ لا نَعْبُدَ إِلاَّ اللهَ وَلاَ نُشْرِكَ </w:t>
      </w:r>
      <w:proofErr w:type="spellStart"/>
      <w:r w:rsidRPr="00521AC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بِهِ</w:t>
      </w:r>
      <w:proofErr w:type="spellEnd"/>
      <w:r w:rsidRPr="00521AC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 xml:space="preserve"> شَيْئاً وَلاَ يَتَّخِذَ بَعْضُنَا بَعْضاً أَرْبَاباً مِنْ دُونِ اللهِ فَإِنْ تَوَلَّوْا فَقُولُوا اشْهَدُوا بِأَنَّا مُسْلِمُونَ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﴾ 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آل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عمران: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64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إن النتيجة واحدة بين هؤلاء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وهؤلاء،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وهي السقوط في تأليه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الإنسان،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بإضفاء القداسة على شخصه أو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رأيه،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مع ما يستتبع ذلك من احتكارٍ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للحقيقة،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وتبرير للتسلط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والظلم،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وتبرير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للانحراف،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وسفك الدماء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بالجهاد،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أو مواجهة الهرطقة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والزندقة،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مما يحول الحياة الاجتماعية والسياسية إلى مرجل دائم الغليان بالصراعات الحادّة التي لا تكاد تنتهي بعض فصولها إلاّ لكي تبدأ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أخرى،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ويحول الحياة الدينية والعلمية إلى طقوس ومراسيم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فارغة،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وتلاوات وتراتيل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غامضة،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تكرَّر وتعاد من دون النظر في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محتواها،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ولا التفكير في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توثيقها،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فتنضب ينابيع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الإبداع،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وتتجمد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العقول،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وتخمل الهمم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lastRenderedPageBreak/>
        <w:t>ولقد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رأينا في التاريخ الغربي أن العلمانية شكَّلت أداة إجرائية حاسمة لتصحيح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الانحراف،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وإنْ لم تكن شاملة ولا كلية.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أما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التاريخ الإسلامي فكانت المعركة فيه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سجالاً،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حيناً ينتصر اتجاه العقل والعلم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الدين،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وأحياناً ينهزم. وكان الانهزام بسبب غياب حلٍّ إجرائي يترجم الفلسفة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الأصولية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التفرقة والتمييز إلى واقع عملي. فكان العمل الفكري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والسياسي،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سواء داخل أو خارج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السلطة،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يتحرك في غالب أمره خارج إطار هذا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التمييز،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وندرت ـ وأحياناً انعدمت ـ استدراكات تماثل أو تقارب استدراكات الخبّاب بن المنذر وأبي ياسر وعمر ومالك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…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(</w:t>
      </w:r>
      <w:bookmarkStart w:id="18" w:name="_ednref16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begin"/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instrText xml:space="preserve"> HYPERLINK "http://nosos.net/%d8%a7%d9%84%d9%81%d9%83%d8%b1-%d8%a7%d9%84%d8%a5%d8%b3%d9%84%d8%a7%d9%85%d9%8a-%d9%88%d8%a7%d9%84%d9%81%d9%83%d8%b1-%d8%a7%d9%84%d8%b9%d9%84%d9%85%d8%a7%d9%86%d9%8a/" \l "_edn16" </w:instrTex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separate"/>
      </w:r>
      <w:r w:rsidRPr="00521A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  <w:lang w:eastAsia="fr-FR"/>
        </w:rPr>
        <w:t>[16]</w:t>
      </w:r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fldChar w:fldCharType="end"/>
      </w:r>
      <w:bookmarkEnd w:id="18"/>
      <w:r w:rsidRPr="00521AC2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fr-FR"/>
        </w:rPr>
        <w:t>)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ولا يسعنا ـ ونحن نصل إلى مواطن الاختلاف بين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الفكرين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الإسلامي والعلماني ـ إلا أن نقرِّر أمرين اثنين نرى أنَّهما في غاية الأهمية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: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أوّلاً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لم يحمل دعاة العلمانية في العالم الإسلامي همّ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تبيئتها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وإخضاعها لعقيدة الأمة ورغباتها ومتطلّبات واقعها. ولهذا السبب أتت العلمانية محمّلة بملابسات وحيثيات واقع غير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واقعها،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وبثنائيات غير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ثنائياتها،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ثنائيات مبنية على التقابل والتنافر بين الدين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والدنيا،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والدين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والعلم،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…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إلخ،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فصارت بذلك ملازمة للاختراق الثقافي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b/>
          <w:bCs/>
          <w:sz w:val="24"/>
          <w:szCs w:val="24"/>
          <w:rtl/>
          <w:lang w:eastAsia="fr-FR"/>
        </w:rPr>
        <w:t>ثانياً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لم تخرج العلمانية عن سنة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التطوّر،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فأصابها ما يصيب جميع الأديان والفلسفات من ضروب الغلوّ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والتطرف،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وأصبح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اللاديني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يتّخذها ذريعة لإقصاء الدين عن الدولة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والمجتمع،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وأضحَتْ بذلك نظرية نفي الدين مضادّة للدين تتّخذ لنفسها صبغة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الإطلاقية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والثبات،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وبعبارة أخرى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: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أصبحت «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ثيوقراطية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مضادّة»،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لا تمثّل رغبات عموم الناس بقدر ما تمثّل أهواء ومعالج فئات ضيقة احتكرت الحديث عن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الدين،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واعتبرت أهواءها في ذلك مطلقة لا تقبل المراجعة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وليس من شكٍّ عندنا أن هذا الغلوّ لا يقتضي منا نفض أيدينا من الفكر العلماني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بأجمعه؛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إذ لو دعَوْنا إلى ذلك لكانت دعوة الداعين إلى تجاوز الأديان مجتمعة ـ لأن الكثير من أفرادها مغالون متنطِّعون ـ محقّة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وصادقة،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والأمر غير ذلك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إذن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فيجب أن تتفرّع فئات من العلماء ورجال الفكر من كلّ الأديان والاتجاهات لتجديد تراث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الإنسانية،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وتنقيته من شوائب الغلوّ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والتنطّع،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وإدامة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فاعليته؛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أجل خير الدين والدنيا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 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الهوامش</w:t>
      </w:r>
      <w:proofErr w:type="gramEnd"/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_____________</w:t>
      </w:r>
    </w:p>
    <w:bookmarkStart w:id="19" w:name="_ftn1"/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begin"/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instrText xml:space="preserve"> HYPERLINK "http://nosos.net/%d8%a7%d9%84%d9%81%d9%83%d8%b1-%d8%a7%d9%84%d8%a5%d8%b3%d9%84%d8%a7%d9%85%d9%8a-%d9%88%d8%a7%d9%84%d9%81%d9%83%d8%b1-%d8%a7%d9%84%d8%b9%d9%84%d9%85%d8%a7%d9%86%d9%8a/" \l "_ftnref1" </w:instrTex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separate"/>
      </w:r>
      <w:r w:rsidRPr="00521AC2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fr-FR"/>
        </w:rPr>
        <w:t>(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fldChar w:fldCharType="end"/>
      </w:r>
      <w:bookmarkEnd w:id="19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*)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أستاذ الفكر والحضارة في جامعة الحسن الثاني ـ الدار البيضاء. من المغرب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0" w:name="_edn1"/>
      <w:bookmarkEnd w:id="20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([1])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أخرجه البخاري في كتاب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الاعتصام،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باب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15؛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ومسلم: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2669؛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والترمذي: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1180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1" w:name="_edn2"/>
      <w:bookmarkEnd w:id="21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([2])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أخرجه أبو داوود في كتاب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السنّة،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باب شرح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السنة،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رقم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4596؛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وابن ماجة في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سننه،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في كتاب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الفتن،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الباب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17،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رقم 3991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2" w:name="_edn3"/>
      <w:bookmarkEnd w:id="22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([3])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قد تتعدد الآراء المستخلصة من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النصّ،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إلى حدّ التناقض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أحياناً،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 دون أن يكون أيّ منها مقدساً أو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مطلقاً،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وإنما تنحصر القداسة في ذات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النصّ،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وفي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عبارته،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لا في الانطباعات التي تحصل حوله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3" w:name="_edn4"/>
      <w:bookmarkEnd w:id="23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([4])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نجد في إنجيل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متّى،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منسوباً إلى قول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عيسى: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«لا تظنوا أني جئت لأنسخ الشريعة أو أقوال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الأنبياء،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أنا جئت لا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لأنسخها،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بل لأكملها.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أقول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لكم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الحقّ: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ما دامت السماء في الأرض موجودة فلن يسقط من الشريعة حرفٌ واحد ونقطة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واحدة،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بل يتم كل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شيء»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(إنجيل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متى،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إصحاح 17 ـ 18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).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4" w:name="_edn5"/>
      <w:bookmarkEnd w:id="24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([5])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برهان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غليون،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نقد السياسة الدولة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والدين: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355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5" w:name="_edn6"/>
      <w:bookmarkEnd w:id="25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([6])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رواه مالك وأحمد والشيخان عن أم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سلمة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6" w:name="_edn7"/>
      <w:bookmarkEnd w:id="26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lastRenderedPageBreak/>
        <w:t xml:space="preserve">([7])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رواه أحمد وابن ماجة من حديث طلحة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7" w:name="_edn8"/>
      <w:bookmarkEnd w:id="27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([8])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أخرجه مسلم في كتاب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الجهاد؛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وأبو داوود في كتاب الجهاد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8" w:name="_edn9"/>
      <w:bookmarkEnd w:id="28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([9])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أخرجه البخاري في كتاب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الاعتصام،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باب 15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29" w:name="_edn10"/>
      <w:bookmarkEnd w:id="29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([10])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د. تقي الدين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الهلالي،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الهدية الهادية إلى الطائفة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التيجانية: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11 ـ 25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30" w:name="_edn11"/>
      <w:bookmarkEnd w:id="30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([11])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الفيض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الكاشاني،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تفسير الصافي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1: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37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31" w:name="_edn12"/>
      <w:bookmarkEnd w:id="31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([12])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محب الدين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الخطيب،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الخطوط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العريضة: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15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32" w:name="_edn13"/>
      <w:bookmarkEnd w:id="32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([13])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برهان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غليون،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نقد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السياسة: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614 ـ 615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33" w:name="_edn14"/>
      <w:bookmarkEnd w:id="33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([14])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انظر: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عبد المنعم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النمر،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نظرية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الملخص: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63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34" w:name="_edn15"/>
      <w:bookmarkEnd w:id="34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([15])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محيي الدين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الخطيب،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البهائية: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180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:rsidR="00521AC2" w:rsidRPr="00521AC2" w:rsidRDefault="00521AC2" w:rsidP="00521AC2">
      <w:pPr>
        <w:bidi/>
        <w:spacing w:before="100" w:beforeAutospacing="1" w:after="100" w:afterAutospacing="1" w:line="240" w:lineRule="auto"/>
        <w:jc w:val="mediumKashida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bookmarkStart w:id="35" w:name="_edn16"/>
      <w:bookmarkEnd w:id="35"/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([16]) </w:t>
      </w:r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الأول سأل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الرسول|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يوم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بدر،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حين أنزل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الجند: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يا رسول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الله،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أرأيت هذا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المنـزل،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أمنـزلاً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أنزلكه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الله ليس لنا أن نتقدَّم فيه أو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نتأخَّر،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أم هو الرأي والمكيدة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والحرب؟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</w:t>
      </w:r>
      <w:proofErr w:type="gram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والثاني</w:t>
      </w:r>
      <w:proofErr w:type="gram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أكَّد أن الخليفة خليفة رسول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الله،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وليس خليفة </w:t>
      </w:r>
      <w:proofErr w:type="spellStart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>لله؛</w:t>
      </w:r>
      <w:proofErr w:type="spellEnd"/>
      <w:r w:rsidRPr="00521AC2">
        <w:rPr>
          <w:rFonts w:ascii="Times New Roman" w:eastAsia="Times New Roman" w:hAnsi="Times New Roman" w:cs="Times New Roman"/>
          <w:sz w:val="24"/>
          <w:szCs w:val="24"/>
          <w:rtl/>
          <w:lang w:eastAsia="fr-FR"/>
        </w:rPr>
        <w:t xml:space="preserve"> والثالث رفض أن يكتب الكاتب بين يدَيْه (هذا ما أرى الله عمر</w:t>
      </w:r>
      <w:r w:rsidRPr="00521AC2">
        <w:rPr>
          <w:rFonts w:ascii="Times New Roman" w:eastAsia="Times New Roman" w:hAnsi="Times New Roman" w:cs="Times New Roman"/>
          <w:sz w:val="24"/>
          <w:szCs w:val="24"/>
          <w:lang w:eastAsia="fr-FR"/>
        </w:rPr>
        <w:t>)…</w:t>
      </w:r>
    </w:p>
    <w:p w:rsidR="00E1086F" w:rsidRDefault="00E1086F"/>
    <w:sectPr w:rsidR="00E1086F" w:rsidSect="00E108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521AC2"/>
    <w:rsid w:val="003434DF"/>
    <w:rsid w:val="00521AC2"/>
    <w:rsid w:val="00E108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86F"/>
  </w:style>
  <w:style w:type="paragraph" w:styleId="Titre3">
    <w:name w:val="heading 3"/>
    <w:basedOn w:val="Normal"/>
    <w:link w:val="Titre3Car"/>
    <w:uiPriority w:val="9"/>
    <w:qFormat/>
    <w:rsid w:val="00521A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2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521AC2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21AC2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521AC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3252</Words>
  <Characters>17890</Characters>
  <Application>Microsoft Office Word</Application>
  <DocSecurity>0</DocSecurity>
  <Lines>149</Lines>
  <Paragraphs>42</Paragraphs>
  <ScaleCrop>false</ScaleCrop>
  <Company/>
  <LinksUpToDate>false</LinksUpToDate>
  <CharactersWithSpaces>21100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2018-11-09T17:22:00Z</dcterms:created>
  <dcterms:modified xsi:type="dcterms:W3CDTF">2018-11-09T17:25:00Z</dcterms:modified>
</cp:coreProperties>
</file>